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Foreshadow (2023)</w:t>
      </w:r>
      <w:r w:rsidDel="00000000" w:rsidR="00000000" w:rsidRPr="00000000">
        <w:drawing>
          <wp:anchor allowOverlap="1" behindDoc="0" distB="114300" distT="114300" distL="114300" distR="114300" hidden="0" layoutInCell="1" locked="0" relativeHeight="0" simplePos="0">
            <wp:simplePos x="0" y="0"/>
            <wp:positionH relativeFrom="column">
              <wp:posOffset>4311975</wp:posOffset>
            </wp:positionH>
            <wp:positionV relativeFrom="paragraph">
              <wp:posOffset>114300</wp:posOffset>
            </wp:positionV>
            <wp:extent cx="1414463" cy="14144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03">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04">
      <w:pPr>
        <w:spacing w:line="276" w:lineRule="auto"/>
        <w:jc w:val="both"/>
        <w:rPr>
          <w:color w:val="222222"/>
          <w:highlight w:val="white"/>
        </w:rPr>
      </w:pPr>
      <w:r w:rsidDel="00000000" w:rsidR="00000000" w:rsidRPr="00000000">
        <w:rPr>
          <w:color w:val="222222"/>
          <w:highlight w:val="white"/>
          <w:rtl w:val="0"/>
        </w:rPr>
        <w:t xml:space="preserve">After </w:t>
      </w:r>
      <w:r w:rsidDel="00000000" w:rsidR="00000000" w:rsidRPr="00000000">
        <w:rPr>
          <w:i w:val="1"/>
          <w:color w:val="222222"/>
          <w:highlight w:val="white"/>
          <w:rtl w:val="0"/>
        </w:rPr>
        <w:t xml:space="preserve">VanThorhout</w:t>
      </w:r>
      <w:r w:rsidDel="00000000" w:rsidR="00000000" w:rsidRPr="00000000">
        <w:rPr>
          <w:color w:val="222222"/>
          <w:highlight w:val="white"/>
          <w:rtl w:val="0"/>
        </w:rPr>
        <w:t xml:space="preserve">, in which Alexander Vantournhout appeared solo on stage, not standing returns with a group show featuring eight acrobat-dancers. The performers move like gears of a collective body to the tunes of experimental rock music. Together they explore quasi-impossible balances, challenge each other and defy gravity.</w:t>
      </w:r>
    </w:p>
    <w:p w:rsidR="00000000" w:rsidDel="00000000" w:rsidP="00000000" w:rsidRDefault="00000000" w:rsidRPr="00000000" w14:paraId="00000005">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06">
      <w:pPr>
        <w:spacing w:line="276" w:lineRule="auto"/>
        <w:jc w:val="both"/>
        <w:rPr>
          <w:color w:val="222222"/>
          <w:highlight w:val="white"/>
        </w:rPr>
      </w:pPr>
      <w:r w:rsidDel="00000000" w:rsidR="00000000" w:rsidRPr="00000000">
        <w:rPr>
          <w:color w:val="222222"/>
          <w:highlight w:val="white"/>
          <w:rtl w:val="0"/>
        </w:rPr>
        <w:t xml:space="preserve">With the tightly orchestrated chaotic movement landscapes of </w:t>
      </w:r>
      <w:r w:rsidDel="00000000" w:rsidR="00000000" w:rsidRPr="00000000">
        <w:rPr>
          <w:i w:val="1"/>
          <w:color w:val="222222"/>
          <w:highlight w:val="white"/>
          <w:rtl w:val="0"/>
        </w:rPr>
        <w:t xml:space="preserve">Foreshadow</w:t>
      </w:r>
      <w:r w:rsidDel="00000000" w:rsidR="00000000" w:rsidRPr="00000000">
        <w:rPr>
          <w:color w:val="222222"/>
          <w:highlight w:val="white"/>
          <w:rtl w:val="0"/>
        </w:rPr>
        <w:t xml:space="preserve">, Alexander Vantournhout takes a new step in his exploration of the relationships between gravity, movement, balance, and spatiality. In addition to the floor, which played a prominent role in </w:t>
      </w:r>
      <w:r w:rsidDel="00000000" w:rsidR="00000000" w:rsidRPr="00000000">
        <w:rPr>
          <w:i w:val="1"/>
          <w:color w:val="222222"/>
          <w:highlight w:val="white"/>
          <w:rtl w:val="0"/>
        </w:rPr>
        <w:t xml:space="preserve">SCREWS</w:t>
      </w:r>
      <w:r w:rsidDel="00000000" w:rsidR="00000000" w:rsidRPr="00000000">
        <w:rPr>
          <w:color w:val="222222"/>
          <w:highlight w:val="white"/>
          <w:rtl w:val="0"/>
        </w:rPr>
        <w:t xml:space="preserve"> and </w:t>
      </w:r>
      <w:r w:rsidDel="00000000" w:rsidR="00000000" w:rsidRPr="00000000">
        <w:rPr>
          <w:i w:val="1"/>
          <w:color w:val="222222"/>
          <w:highlight w:val="white"/>
          <w:rtl w:val="0"/>
        </w:rPr>
        <w:t xml:space="preserve">Through the Grapevine</w:t>
      </w:r>
      <w:r w:rsidDel="00000000" w:rsidR="00000000" w:rsidRPr="00000000">
        <w:rPr>
          <w:color w:val="222222"/>
          <w:highlight w:val="white"/>
          <w:rtl w:val="0"/>
        </w:rPr>
        <w:t xml:space="preserve">, the wall now also becomes a dance partner.</w:t>
      </w:r>
    </w:p>
    <w:p w:rsidR="00000000" w:rsidDel="00000000" w:rsidP="00000000" w:rsidRDefault="00000000" w:rsidRPr="00000000" w14:paraId="00000007">
      <w:pPr>
        <w:spacing w:line="240" w:lineRule="auto"/>
        <w:jc w:val="both"/>
        <w:rPr>
          <w:highlight w:val="white"/>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rtl w:val="0"/>
        </w:rPr>
        <w:t xml:space="preserve">Concept &amp; choreography:</w:t>
      </w:r>
      <w:r w:rsidDel="00000000" w:rsidR="00000000" w:rsidRPr="00000000">
        <w:rPr>
          <w:rtl w:val="0"/>
        </w:rPr>
        <w:t xml:space="preserve"> Alexander Vantournhout</w:t>
      </w:r>
    </w:p>
    <w:p w:rsidR="00000000" w:rsidDel="00000000" w:rsidP="00000000" w:rsidRDefault="00000000" w:rsidRPr="00000000" w14:paraId="00000009">
      <w:pPr>
        <w:spacing w:line="240" w:lineRule="auto"/>
        <w:rPr/>
      </w:pPr>
      <w:r w:rsidDel="00000000" w:rsidR="00000000" w:rsidRPr="00000000">
        <w:rPr>
          <w:b w:val="1"/>
          <w:rtl w:val="0"/>
        </w:rPr>
        <w:t xml:space="preserve">Created with and performed by: </w:t>
      </w:r>
      <w:r w:rsidDel="00000000" w:rsidR="00000000" w:rsidRPr="00000000">
        <w:rPr>
          <w:rtl w:val="0"/>
        </w:rPr>
        <w:t xml:space="preserve">Noémi Devaux, Axel Guérin, Patryk K</w:t>
      </w:r>
      <w:r w:rsidDel="00000000" w:rsidR="00000000" w:rsidRPr="00000000">
        <w:rPr>
          <w:b w:val="1"/>
          <w:color w:val="5f6368"/>
          <w:sz w:val="21"/>
          <w:szCs w:val="21"/>
          <w:rtl w:val="0"/>
        </w:rPr>
        <w:t xml:space="preserve">ł</w:t>
      </w:r>
      <w:r w:rsidDel="00000000" w:rsidR="00000000" w:rsidRPr="00000000">
        <w:rPr>
          <w:rtl w:val="0"/>
        </w:rPr>
        <w:t xml:space="preserve">os, Nick Robaey, Josse Roger/Mats Oosterveld, Emmi Väisänen/Margaux Lissandre, Esse Vanderbruggen &amp; Alexander Vantournhout/Chia-Hung Chung</w:t>
      </w:r>
    </w:p>
    <w:p w:rsidR="00000000" w:rsidDel="00000000" w:rsidP="00000000" w:rsidRDefault="00000000" w:rsidRPr="00000000" w14:paraId="0000000A">
      <w:pPr>
        <w:spacing w:line="240" w:lineRule="auto"/>
        <w:rPr>
          <w:b w:val="1"/>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rtl w:val="0"/>
        </w:rPr>
        <w:t xml:space="preserve">Dramaturgy: </w:t>
      </w:r>
      <w:r w:rsidDel="00000000" w:rsidR="00000000" w:rsidRPr="00000000">
        <w:rPr>
          <w:rtl w:val="0"/>
        </w:rPr>
        <w:t xml:space="preserve">Rudi Laermans &amp; Sébastien Hendrickx</w:t>
      </w:r>
    </w:p>
    <w:p w:rsidR="00000000" w:rsidDel="00000000" w:rsidP="00000000" w:rsidRDefault="00000000" w:rsidRPr="00000000" w14:paraId="0000000C">
      <w:pPr>
        <w:spacing w:line="240" w:lineRule="auto"/>
        <w:rPr/>
      </w:pPr>
      <w:r w:rsidDel="00000000" w:rsidR="00000000" w:rsidRPr="00000000">
        <w:rPr>
          <w:b w:val="1"/>
          <w:rtl w:val="0"/>
        </w:rPr>
        <w:t xml:space="preserve">Rehearsal director: </w:t>
      </w:r>
      <w:r w:rsidDel="00000000" w:rsidR="00000000" w:rsidRPr="00000000">
        <w:rPr>
          <w:rtl w:val="0"/>
        </w:rPr>
        <w:t xml:space="preserve">Sandy Williams</w:t>
      </w:r>
    </w:p>
    <w:p w:rsidR="00000000" w:rsidDel="00000000" w:rsidP="00000000" w:rsidRDefault="00000000" w:rsidRPr="00000000" w14:paraId="0000000D">
      <w:pPr>
        <w:spacing w:line="240" w:lineRule="auto"/>
        <w:rPr/>
      </w:pPr>
      <w:r w:rsidDel="00000000" w:rsidR="00000000" w:rsidRPr="00000000">
        <w:rPr>
          <w:b w:val="1"/>
          <w:rtl w:val="0"/>
        </w:rPr>
        <w:t xml:space="preserve">Costumes:</w:t>
      </w:r>
      <w:r w:rsidDel="00000000" w:rsidR="00000000" w:rsidRPr="00000000">
        <w:rPr>
          <w:rtl w:val="0"/>
        </w:rPr>
        <w:t xml:space="preserve"> Patty Eggerickx </w:t>
      </w:r>
      <w:r w:rsidDel="00000000" w:rsidR="00000000" w:rsidRPr="00000000">
        <w:rPr>
          <w:b w:val="1"/>
          <w:rtl w:val="0"/>
        </w:rPr>
        <w:t xml:space="preserve">assisted by:</w:t>
      </w:r>
      <w:r w:rsidDel="00000000" w:rsidR="00000000" w:rsidRPr="00000000">
        <w:rPr>
          <w:rtl w:val="0"/>
        </w:rPr>
        <w:t xml:space="preserve"> Isabelle Airaud</w:t>
      </w:r>
    </w:p>
    <w:p w:rsidR="00000000" w:rsidDel="00000000" w:rsidP="00000000" w:rsidRDefault="00000000" w:rsidRPr="00000000" w14:paraId="0000000E">
      <w:pPr>
        <w:spacing w:line="240" w:lineRule="auto"/>
        <w:rPr/>
      </w:pPr>
      <w:r w:rsidDel="00000000" w:rsidR="00000000" w:rsidRPr="00000000">
        <w:rPr>
          <w:b w:val="1"/>
          <w:rtl w:val="0"/>
        </w:rPr>
        <w:t xml:space="preserve">Music: </w:t>
      </w:r>
      <w:r w:rsidDel="00000000" w:rsidR="00000000" w:rsidRPr="00000000">
        <w:rPr>
          <w:rtl w:val="0"/>
        </w:rPr>
        <w:t xml:space="preserve">This Heat</w:t>
      </w:r>
    </w:p>
    <w:p w:rsidR="00000000" w:rsidDel="00000000" w:rsidP="00000000" w:rsidRDefault="00000000" w:rsidRPr="00000000" w14:paraId="0000000F">
      <w:pPr>
        <w:spacing w:line="240" w:lineRule="auto"/>
        <w:rPr/>
      </w:pPr>
      <w:r w:rsidDel="00000000" w:rsidR="00000000" w:rsidRPr="00000000">
        <w:rPr>
          <w:b w:val="1"/>
          <w:rtl w:val="0"/>
        </w:rPr>
        <w:t xml:space="preserve">Light design: </w:t>
      </w:r>
      <w:r w:rsidDel="00000000" w:rsidR="00000000" w:rsidRPr="00000000">
        <w:rPr>
          <w:rtl w:val="0"/>
        </w:rPr>
        <w:t xml:space="preserve">Bert Van Dijck</w:t>
      </w:r>
    </w:p>
    <w:p w:rsidR="00000000" w:rsidDel="00000000" w:rsidP="00000000" w:rsidRDefault="00000000" w:rsidRPr="00000000" w14:paraId="00000010">
      <w:pPr>
        <w:spacing w:line="240" w:lineRule="auto"/>
        <w:rPr/>
      </w:pPr>
      <w:r w:rsidDel="00000000" w:rsidR="00000000" w:rsidRPr="00000000">
        <w:rPr>
          <w:b w:val="1"/>
          <w:rtl w:val="0"/>
        </w:rPr>
        <w:t xml:space="preserve">Sound:</w:t>
      </w:r>
      <w:r w:rsidDel="00000000" w:rsidR="00000000" w:rsidRPr="00000000">
        <w:rPr>
          <w:rtl w:val="0"/>
        </w:rPr>
        <w:t xml:space="preserve"> Ruben Nachtergaele</w:t>
      </w:r>
    </w:p>
    <w:p w:rsidR="00000000" w:rsidDel="00000000" w:rsidP="00000000" w:rsidRDefault="00000000" w:rsidRPr="00000000" w14:paraId="00000011">
      <w:pPr>
        <w:spacing w:line="240" w:lineRule="auto"/>
        <w:rPr/>
      </w:pPr>
      <w:r w:rsidDel="00000000" w:rsidR="00000000" w:rsidRPr="00000000">
        <w:rPr>
          <w:b w:val="1"/>
          <w:rtl w:val="0"/>
        </w:rPr>
        <w:t xml:space="preserve">Technicians on tour:</w:t>
      </w:r>
      <w:r w:rsidDel="00000000" w:rsidR="00000000" w:rsidRPr="00000000">
        <w:rPr>
          <w:rtl w:val="0"/>
        </w:rPr>
        <w:t xml:space="preserve"> </w:t>
      </w:r>
      <w:r w:rsidDel="00000000" w:rsidR="00000000" w:rsidRPr="00000000">
        <w:rPr>
          <w:highlight w:val="white"/>
          <w:rtl w:val="0"/>
        </w:rPr>
        <w:t xml:space="preserve">Bram Vandeghinste, Bert Van Dijck, Quentin Maes, Jona Maes, Siebe Coorevits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rtl w:val="0"/>
        </w:rPr>
        <w:t xml:space="preserve">Tour planning:</w:t>
      </w:r>
      <w:r w:rsidDel="00000000" w:rsidR="00000000" w:rsidRPr="00000000">
        <w:rPr>
          <w:rtl w:val="0"/>
        </w:rPr>
        <w:t xml:space="preserve"> Frans Brood Productions</w:t>
      </w:r>
    </w:p>
    <w:p w:rsidR="00000000" w:rsidDel="00000000" w:rsidP="00000000" w:rsidRDefault="00000000" w:rsidRPr="00000000" w14:paraId="00000014">
      <w:pPr>
        <w:spacing w:line="240" w:lineRule="auto"/>
        <w:rPr/>
      </w:pPr>
      <w:r w:rsidDel="00000000" w:rsidR="00000000" w:rsidRPr="00000000">
        <w:rPr>
          <w:b w:val="1"/>
          <w:rtl w:val="0"/>
        </w:rPr>
        <w:t xml:space="preserve">Company management:</w:t>
      </w:r>
      <w:r w:rsidDel="00000000" w:rsidR="00000000" w:rsidRPr="00000000">
        <w:rPr>
          <w:rtl w:val="0"/>
        </w:rPr>
        <w:t xml:space="preserve"> Esther Maas</w:t>
      </w:r>
    </w:p>
    <w:p w:rsidR="00000000" w:rsidDel="00000000" w:rsidP="00000000" w:rsidRDefault="00000000" w:rsidRPr="00000000" w14:paraId="00000015">
      <w:pPr>
        <w:spacing w:line="240" w:lineRule="auto"/>
        <w:rPr/>
      </w:pPr>
      <w:r w:rsidDel="00000000" w:rsidR="00000000" w:rsidRPr="00000000">
        <w:rPr>
          <w:b w:val="1"/>
          <w:rtl w:val="0"/>
        </w:rPr>
        <w:t xml:space="preserve">Technical coordination:</w:t>
      </w:r>
      <w:r w:rsidDel="00000000" w:rsidR="00000000" w:rsidRPr="00000000">
        <w:rPr>
          <w:rtl w:val="0"/>
        </w:rPr>
        <w:t xml:space="preserve"> Bram Vandeghinste </w:t>
      </w:r>
    </w:p>
    <w:p w:rsidR="00000000" w:rsidDel="00000000" w:rsidP="00000000" w:rsidRDefault="00000000" w:rsidRPr="00000000" w14:paraId="00000016">
      <w:pPr>
        <w:spacing w:line="240" w:lineRule="auto"/>
        <w:rPr/>
      </w:pPr>
      <w:r w:rsidDel="00000000" w:rsidR="00000000" w:rsidRPr="00000000">
        <w:rPr>
          <w:b w:val="1"/>
          <w:rtl w:val="0"/>
        </w:rPr>
        <w:t xml:space="preserve">Production &amp; tourmanagement:</w:t>
      </w:r>
      <w:r w:rsidDel="00000000" w:rsidR="00000000" w:rsidRPr="00000000">
        <w:rPr>
          <w:rtl w:val="0"/>
        </w:rPr>
        <w:t xml:space="preserve"> Kiki Verschueren &amp; Janne Coonen</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b w:val="1"/>
          <w:rtl w:val="0"/>
        </w:rPr>
        <w:t xml:space="preserve">Production:</w:t>
      </w:r>
      <w:r w:rsidDel="00000000" w:rsidR="00000000" w:rsidRPr="00000000">
        <w:rPr>
          <w:rtl w:val="0"/>
        </w:rPr>
        <w:t xml:space="preserve"> Not Standing</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Co-production:</w:t>
      </w:r>
      <w:r w:rsidDel="00000000" w:rsidR="00000000" w:rsidRPr="00000000">
        <w:rPr>
          <w:rtl w:val="0"/>
        </w:rPr>
        <w:t xml:space="preserve"> le CENTQUATRE, Paris (FR), Kunstencentrum VIERNULVIER, Ghent (BE), Julidans, Amsterdam (NL), Biennale de la Danse, Lyon (FR), Le Maillon, Strasbourg (FR), Les Halles de Schaerbeek (BE), MA scène nationale – Pays de Montbéliard (FR),  La Passerelle, scène nationale de Saint-Brieuc (FR), Theater Freiburg (DE) &amp; Le Carreau Scène nationale de Forbach et de l'Est mosellan (FR).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Special thanks to:</w:t>
      </w:r>
      <w:r w:rsidDel="00000000" w:rsidR="00000000" w:rsidRPr="00000000">
        <w:rPr>
          <w:rtl w:val="0"/>
        </w:rPr>
        <w:t xml:space="preserve"> De Grote Post, Ostend (BE), Plateforme 2 Pôles Cirque en Normandie / La Brèche à Cherbourg &amp; le Cirque-Théâtre d’Elbeuf (FR), Maison de la Danse, Lyon (FR), Urte Groblyte, Julien Monty, Bjorn Verlinde &amp; Katherina Lindekens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Created with the support of the Tax Shelter of the Belgian Federal Government, via Flanders Tax Shelter</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not standing is supported by the Flemish Government.</w:t>
      </w:r>
    </w:p>
    <w:p w:rsidR="00000000" w:rsidDel="00000000" w:rsidP="00000000" w:rsidRDefault="00000000" w:rsidRPr="00000000" w14:paraId="00000021">
      <w:pPr>
        <w:spacing w:line="240" w:lineRule="auto"/>
        <w:rPr/>
      </w:pPr>
      <w:r w:rsidDel="00000000" w:rsidR="00000000" w:rsidRPr="00000000">
        <w:rPr>
          <w:rtl w:val="0"/>
        </w:rPr>
        <w:t xml:space="preserve">Alexander Vantournhout is artist-in-residence at Kunstencentrum VIERNULVIER in Ghent and associated artist of le CENTQUATRE Paris. He is cultural ambassador of the city of Roeselare and supported by Fondation BNP Paribas for the development of his projects.</w:t>
      </w:r>
    </w:p>
    <w:p w:rsidR="00000000" w:rsidDel="00000000" w:rsidP="00000000" w:rsidRDefault="00000000" w:rsidRPr="00000000" w14:paraId="00000022">
      <w:pPr>
        <w:spacing w:line="240" w:lineRule="auto"/>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idhOon26whRi03rBu8AJL9s+A==">CgMxLjA4AHIhMU9SMENSTHF4WUFxdjdhQld1UWN1VUExSzhHNG9JU2Fp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2023-01-19T11:00:00Z</dcterms:created>
</cp:coreProperties>
</file>